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年西安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规划基金课题申报指标表</w:t>
      </w:r>
    </w:p>
    <w:p>
      <w:pPr>
        <w:ind w:firstLine="220" w:firstLineChars="200"/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为保证西安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社科规划基金课题的质量，同时也为各高校科研处（社科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）做好课题初步筛选工作提供依据，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西安</w:t>
      </w:r>
      <w:r>
        <w:rPr>
          <w:rFonts w:hint="eastAsia" w:ascii="仿宋_GB2312" w:hAnsi="仿宋_GB2312" w:eastAsia="仿宋_GB2312" w:cs="仿宋_GB2312"/>
          <w:sz w:val="32"/>
          <w:szCs w:val="32"/>
        </w:rPr>
        <w:t>市社科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基金办结合以往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西安地区各高校及科研院所的课题申报数量以及课题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结题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的质量等因素综合考虑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，实行课题申报数量限报政策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请各单位严格按照申报指标上报，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具体数字详见下表：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2"/>
        <w:tblW w:w="6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申报数量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陕西师范大学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西北大学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西安交通大学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长安大学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西安电子科技大学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西北政法大学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西安建筑科技大学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西安理工大学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西北工业大学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西安外国语大学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陕西学前师范学院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西安文理学院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西安工程大学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陕西科技大学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西安邮电大学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西安科技大学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西安石油大学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西安工业大学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西安财经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陕西省社会科学院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西安市委党校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西安体育学院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陕西国际商贸学院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西京学院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西安外事学院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西安欧亚学院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培华学院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西安翻译学院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西安交大城市学院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西安思源学院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西北大学现代学院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西安财经学院行知学院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西安建筑科技大学华清学院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西安医学院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西安美术学院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西安音乐学院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西安航空学院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西安铁路职业技术学院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西安职业技术学院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320" w:firstLineChars="1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西安广播电视大学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</w:tbl>
    <w:p>
      <w:pPr>
        <w:ind w:firstLine="522" w:firstLineChars="400"/>
        <w:jc w:val="left"/>
        <w:rPr>
          <w:rFonts w:hint="eastAsia" w:ascii="仿宋_GB2312" w:hAnsi="仿宋_GB2312" w:eastAsia="仿宋_GB2312" w:cs="仿宋_GB2312"/>
          <w:b/>
          <w:color w:val="000000"/>
          <w:sz w:val="13"/>
          <w:szCs w:val="13"/>
        </w:rPr>
      </w:pPr>
    </w:p>
    <w:p>
      <w:pPr>
        <w:ind w:firstLine="1205" w:firstLineChars="4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备注：凡未列入本表的高校、科研院所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eastAsia="zh-CN"/>
        </w:rPr>
        <w:t>、党委政府部门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，每家单位申报数量应控制在5个以内。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4CBC"/>
    <w:rsid w:val="2F4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2021-01-26T08:56:00Z</dcterms:created>
  <dc:creator>N</dc:creator>
  <cp:lastModifiedBy>N</cp:lastModifiedBy>
  <dcterms:modified xsi:type="dcterms:W3CDTF">2021-01-26T08:56:57Z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