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年西安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规划基金课题申报指标表</w:t>
      </w: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为保证西安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社科规划基金课题的质量，同时也为各高校科研处（社科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）做好课题初步筛选工作提供依据，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西安</w:t>
      </w:r>
      <w:r>
        <w:rPr>
          <w:rFonts w:hint="eastAsia" w:ascii="仿宋_GB2312" w:hAnsi="仿宋_GB2312" w:eastAsia="仿宋_GB2312" w:cs="仿宋_GB2312"/>
          <w:sz w:val="32"/>
          <w:szCs w:val="32"/>
        </w:rPr>
        <w:t>市社科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基金办结合以往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西安地区各高校及科研院所的课题申报数量以及课题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结题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的质量等因素综合考虑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，实行课题申报数量限报政策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请各单位严格按照申报指标上报，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具体数字详见下表：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6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申报数量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陕西师范大学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西安交通大学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长安大学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西安电子科技大学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西北政法大学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西安建筑科技大学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西安理工大学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西北工业大学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西安外国语大学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陕西学前师范学院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西安文理学院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西安工程大学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西安邮电大学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西安石油大学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西安工业大学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西安财经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陕西省社会科学院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西安市委党校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西安体育学院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陕西国际商贸学院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西京学院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西安外事学院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西安欧亚学院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培华学院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西安翻译学院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西安交大城市学院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西安思源学院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西北大学现代学院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西安财经学院行知学院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西安建筑科技大学华清学院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西安医学院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西安美术学院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西安音乐学院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西安航空学院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西安铁路职业技术学院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西安职业技术学院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32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西安广播电视大学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</w:tbl>
    <w:p>
      <w:pPr>
        <w:ind w:firstLine="522" w:firstLineChars="400"/>
        <w:jc w:val="left"/>
        <w:rPr>
          <w:rFonts w:hint="eastAsia" w:ascii="仿宋_GB2312" w:hAnsi="仿宋_GB2312" w:eastAsia="仿宋_GB2312" w:cs="仿宋_GB2312"/>
          <w:b/>
          <w:color w:val="000000"/>
          <w:sz w:val="13"/>
          <w:szCs w:val="13"/>
        </w:rPr>
      </w:pPr>
    </w:p>
    <w:p>
      <w:pPr>
        <w:ind w:firstLine="1205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备注：凡未列入本表的高校、科研院所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、党委政府部门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，每家单位申报数量应控制在5个以内。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04CBC"/>
    <w:rsid w:val="2F4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2021-01-26T08:56:00Z</dcterms:created>
  <dc:creator>N</dc:creator>
  <cp:lastModifiedBy>N</cp:lastModifiedBy>
  <dcterms:modified xsi:type="dcterms:W3CDTF">2021-01-26T08:56:57Z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